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0CA7" w14:textId="67F72C4D" w:rsidR="005708E8" w:rsidRDefault="005708E8" w:rsidP="005708E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Этапы реализации проекта</w:t>
      </w:r>
      <w:r w:rsidR="005D1775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 создания</w:t>
      </w: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 завода по производству алкогольной продукции:</w:t>
      </w:r>
    </w:p>
    <w:p w14:paraId="043BB533" w14:textId="77777777" w:rsidR="005D1775" w:rsidRPr="005708E8" w:rsidRDefault="005D1775" w:rsidP="005708E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</w:p>
    <w:p w14:paraId="22805B4E" w14:textId="77777777" w:rsidR="005708E8" w:rsidRPr="005708E8" w:rsidRDefault="005708E8" w:rsidP="005708E8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Маркетинговое исследование и анализ рынка</w:t>
      </w:r>
    </w:p>
    <w:p w14:paraId="313B83BF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Изучение спроса, конкурентов, сегментов рынка. </w:t>
      </w:r>
    </w:p>
    <w:p w14:paraId="533A0A01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Анализ тенденций, предпочтений потребителей и законодательных ограничений.</w:t>
      </w:r>
    </w:p>
    <w:p w14:paraId="749EBD79" w14:textId="77777777" w:rsidR="005708E8" w:rsidRPr="005708E8" w:rsidRDefault="005708E8" w:rsidP="005708E8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Разработка бизнес-плана</w:t>
      </w:r>
    </w:p>
    <w:p w14:paraId="08D7C77E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Финансовая модель (инвестиции, сроки окупаемости, прогноз прибыли). </w:t>
      </w:r>
    </w:p>
    <w:p w14:paraId="590CDBE7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Стратегия выхода на рынок и позиционирование бренда.</w:t>
      </w:r>
    </w:p>
    <w:p w14:paraId="5D5D106C" w14:textId="77777777" w:rsidR="005708E8" w:rsidRPr="005708E8" w:rsidRDefault="005708E8" w:rsidP="005708E8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Юридическое оформление</w:t>
      </w:r>
    </w:p>
    <w:p w14:paraId="564BE177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Регистрация юридического лица. </w:t>
      </w:r>
    </w:p>
    <w:p w14:paraId="38157117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Получение лицензий (производство, продажа алкоголя). </w:t>
      </w:r>
    </w:p>
    <w:p w14:paraId="29A0578C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Согласование с Роспотребнадзором, Росалкогольрегулированием, экологическими службами.</w:t>
      </w:r>
    </w:p>
    <w:p w14:paraId="074B67AF" w14:textId="77777777" w:rsidR="005708E8" w:rsidRPr="005708E8" w:rsidRDefault="005708E8" w:rsidP="005708E8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Выбор и подготовка площадки</w:t>
      </w:r>
    </w:p>
    <w:p w14:paraId="72D56589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Анализ локаций (инфраструктура, логистика, доступ к сырью). </w:t>
      </w:r>
    </w:p>
    <w:p w14:paraId="7FA5251D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Проверка соответствия земельного участка градостроительным нормам и экологическим требованиям.</w:t>
      </w:r>
    </w:p>
    <w:p w14:paraId="7D8DBC66" w14:textId="77777777" w:rsidR="005708E8" w:rsidRPr="005708E8" w:rsidRDefault="005708E8" w:rsidP="005708E8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Проектирование завода</w:t>
      </w:r>
    </w:p>
    <w:p w14:paraId="4181806D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Разработка архитектурно-планировочных решений. </w:t>
      </w:r>
    </w:p>
    <w:p w14:paraId="2028BAAE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Проектирование производственных линий, складов, лабораторий, офисов. </w:t>
      </w:r>
    </w:p>
    <w:p w14:paraId="558E59F6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Внедрение систем безопасности и экологической защиты.</w:t>
      </w:r>
    </w:p>
    <w:p w14:paraId="511E0769" w14:textId="77777777" w:rsidR="005708E8" w:rsidRPr="005708E8" w:rsidRDefault="005708E8" w:rsidP="005708E8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Закупка оборудования</w:t>
      </w:r>
    </w:p>
    <w:p w14:paraId="080F2735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Подбор технологического оборудования (брожение, дистилляция, розлив, упаковка). </w:t>
      </w:r>
    </w:p>
    <w:p w14:paraId="485FCA7C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Автоматизация процессов и контроля качества. </w:t>
      </w:r>
    </w:p>
    <w:p w14:paraId="1DE7D3A9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Обучение персонала работе с оборудованием.</w:t>
      </w:r>
    </w:p>
    <w:p w14:paraId="61AFC15A" w14:textId="77777777" w:rsidR="005708E8" w:rsidRPr="005708E8" w:rsidRDefault="005708E8" w:rsidP="005708E8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Строительство и монтаж</w:t>
      </w:r>
    </w:p>
    <w:p w14:paraId="2E99740F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Возведение зданий и инженерных сетей. </w:t>
      </w:r>
    </w:p>
    <w:p w14:paraId="50063F89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Установка и тестирование оборудования. </w:t>
      </w:r>
    </w:p>
    <w:p w14:paraId="1AC04DAD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Соблюдение сроков и стандартов строительства.</w:t>
      </w:r>
    </w:p>
    <w:p w14:paraId="5E70B6B2" w14:textId="77777777" w:rsidR="005708E8" w:rsidRPr="005708E8" w:rsidRDefault="005708E8" w:rsidP="005708E8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Формирование команды</w:t>
      </w:r>
    </w:p>
    <w:p w14:paraId="251DA421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lastRenderedPageBreak/>
        <w:t xml:space="preserve">Наем сотрудников (технологи, мастера, логисты, менеджеры по качеству). </w:t>
      </w:r>
    </w:p>
    <w:p w14:paraId="7D2E5B2E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Обучение персонала, включая сертификационные курсы.</w:t>
      </w:r>
    </w:p>
    <w:p w14:paraId="766CE1B4" w14:textId="77777777" w:rsidR="005708E8" w:rsidRPr="005708E8" w:rsidRDefault="005708E8" w:rsidP="005708E8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Тестовый запуск и отладка</w:t>
      </w:r>
    </w:p>
    <w:p w14:paraId="4A1BA91B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Пилотные партии продукции. </w:t>
      </w:r>
    </w:p>
    <w:p w14:paraId="22334E3F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Проверка соответствия стандартам (ГОСТ, ISO, санитарные нормы). </w:t>
      </w:r>
    </w:p>
    <w:p w14:paraId="254D8DC5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Устранение недочетов в технологическом цикле.</w:t>
      </w:r>
    </w:p>
    <w:p w14:paraId="2B4491F7" w14:textId="77777777" w:rsidR="005708E8" w:rsidRPr="005708E8" w:rsidRDefault="005708E8" w:rsidP="005708E8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Полный запуск производства</w:t>
      </w:r>
    </w:p>
    <w:p w14:paraId="00A06A94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Начало массового выпуска продукции. </w:t>
      </w:r>
    </w:p>
    <w:p w14:paraId="25256BEF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Контроль качества на всех этапах (входной контроль сырья, производство, упаковка).</w:t>
      </w:r>
    </w:p>
    <w:p w14:paraId="27AA8432" w14:textId="77777777" w:rsidR="005708E8" w:rsidRPr="005708E8" w:rsidRDefault="005708E8" w:rsidP="005708E8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Создание системы сбыта и логистики</w:t>
      </w:r>
    </w:p>
    <w:p w14:paraId="539E455F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Договоры с дистрибьюторами, розничными сетями, </w:t>
      </w:r>
      <w:proofErr w:type="spellStart"/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HoReCa</w:t>
      </w:r>
      <w:proofErr w:type="spellEnd"/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. </w:t>
      </w:r>
    </w:p>
    <w:p w14:paraId="79D82F7A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Организация складирования и доставки. </w:t>
      </w:r>
    </w:p>
    <w:p w14:paraId="75A25B5F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Маркетинговая стратегия (брендинг, реклама, </w:t>
      </w:r>
      <w:proofErr w:type="spellStart"/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digital</w:t>
      </w:r>
      <w:proofErr w:type="spellEnd"/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-продвижение).</w:t>
      </w:r>
    </w:p>
    <w:p w14:paraId="709835AF" w14:textId="77777777" w:rsidR="005708E8" w:rsidRPr="005708E8" w:rsidRDefault="005708E8" w:rsidP="005708E8">
      <w:pPr>
        <w:numPr>
          <w:ilvl w:val="0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Мониторинг и оптимизация</w:t>
      </w:r>
    </w:p>
    <w:p w14:paraId="1A506340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Анализ эффективности производства и сбыта. </w:t>
      </w:r>
    </w:p>
    <w:p w14:paraId="18FC5EA7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Внедрение инноваций, снижение издержек. </w:t>
      </w:r>
    </w:p>
    <w:p w14:paraId="24C7DC53" w14:textId="77777777" w:rsidR="005708E8" w:rsidRPr="005708E8" w:rsidRDefault="005708E8" w:rsidP="005708E8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Адаптация к изменениям законодательства и рыночных условий.</w:t>
      </w:r>
    </w:p>
    <w:p w14:paraId="225C23B6" w14:textId="77777777" w:rsidR="005708E8" w:rsidRPr="005708E8" w:rsidRDefault="005708E8" w:rsidP="005708E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>Дополнительные аспекты:</w:t>
      </w:r>
    </w:p>
    <w:p w14:paraId="43D2C280" w14:textId="77777777" w:rsidR="005708E8" w:rsidRPr="005708E8" w:rsidRDefault="005708E8" w:rsidP="005708E8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Экологическая и социальная ответственность: </w:t>
      </w: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Утилизация отходов, снижение выбросов, программы поддержки местного сообщества. </w:t>
      </w:r>
    </w:p>
    <w:p w14:paraId="077C89FC" w14:textId="77777777" w:rsidR="005708E8" w:rsidRPr="005708E8" w:rsidRDefault="005708E8" w:rsidP="005708E8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Риск-менеджмент: </w:t>
      </w: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 xml:space="preserve">Страхование, резервные планы на случай ЧП или сбоев. </w:t>
      </w:r>
    </w:p>
    <w:p w14:paraId="4FC64816" w14:textId="77777777" w:rsidR="005708E8" w:rsidRPr="005708E8" w:rsidRDefault="005708E8" w:rsidP="005708E8">
      <w:pPr>
        <w:numPr>
          <w:ilvl w:val="0"/>
          <w:numId w:val="2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bdr w:val="single" w:sz="2" w:space="0" w:color="E3E3E3" w:frame="1"/>
          <w:lang w:eastAsia="ru-RU"/>
        </w:rPr>
        <w:t xml:space="preserve">Цифровизация: </w:t>
      </w: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Внедрение ERP-систем для управления ресурсами и производством.</w:t>
      </w:r>
    </w:p>
    <w:p w14:paraId="04C84F09" w14:textId="77777777" w:rsidR="005708E8" w:rsidRPr="005708E8" w:rsidRDefault="005708E8" w:rsidP="005708E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180" w:after="180"/>
        <w:rPr>
          <w:rFonts w:ascii="Arial" w:eastAsia="Times New Roman" w:hAnsi="Arial" w:cs="Arial"/>
          <w:color w:val="2C2C36"/>
          <w:spacing w:val="5"/>
          <w:lang w:eastAsia="ru-RU"/>
        </w:rPr>
      </w:pPr>
      <w:r w:rsidRPr="005708E8">
        <w:rPr>
          <w:rFonts w:ascii="Arial" w:eastAsia="Times New Roman" w:hAnsi="Arial" w:cs="Arial"/>
          <w:color w:val="2C2C36"/>
          <w:spacing w:val="5"/>
          <w:lang w:eastAsia="ru-RU"/>
        </w:rPr>
        <w:t>Каждый этап требует тщательной подготовки и взаимодействия с государственными органами, подрядчиками и партнерами. Успех проекта зависит от комплексного подхода и соблюдения законодательства.</w:t>
      </w:r>
    </w:p>
    <w:p w14:paraId="771BC4F3" w14:textId="77777777" w:rsidR="00875FBB" w:rsidRDefault="00875FBB"/>
    <w:sectPr w:rsidR="00875FBB" w:rsidSect="0082327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9690E"/>
    <w:multiLevelType w:val="multilevel"/>
    <w:tmpl w:val="1B2C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531C"/>
    <w:multiLevelType w:val="multilevel"/>
    <w:tmpl w:val="4D46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402171">
    <w:abstractNumId w:val="0"/>
  </w:num>
  <w:num w:numId="2" w16cid:durableId="199278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E8"/>
    <w:rsid w:val="005708E8"/>
    <w:rsid w:val="005C7389"/>
    <w:rsid w:val="005D1775"/>
    <w:rsid w:val="00814E0F"/>
    <w:rsid w:val="00823271"/>
    <w:rsid w:val="00875FBB"/>
    <w:rsid w:val="00A3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74DE"/>
  <w15:chartTrackingRefBased/>
  <w15:docId w15:val="{949BFA81-5D84-954B-BB1E-F41B3F16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8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8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8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8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8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8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8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8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8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8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8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0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8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0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8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08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8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08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08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08E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708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d">
    <w:name w:val="Strong"/>
    <w:basedOn w:val="a0"/>
    <w:uiPriority w:val="22"/>
    <w:qFormat/>
    <w:rsid w:val="005708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0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Platonov</dc:creator>
  <cp:keywords/>
  <dc:description/>
  <cp:lastModifiedBy>Sergey Platonov</cp:lastModifiedBy>
  <cp:revision>2</cp:revision>
  <dcterms:created xsi:type="dcterms:W3CDTF">2025-03-24T09:30:00Z</dcterms:created>
  <dcterms:modified xsi:type="dcterms:W3CDTF">2025-04-02T09:00:00Z</dcterms:modified>
</cp:coreProperties>
</file>