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CC6E" w14:textId="6CE5A5DE" w:rsidR="00E95EAE" w:rsidRPr="00E95EAE" w:rsidRDefault="008D1124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Для запуска </w:t>
      </w:r>
      <w:r w:rsid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Проект</w:t>
      </w:r>
      <w:r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а по</w:t>
      </w:r>
      <w:r w:rsidR="00E95EAE"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 создани</w:t>
      </w:r>
      <w:r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ю</w:t>
      </w:r>
      <w:r w:rsidR="00E95EAE"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 завода по производству пива и пивных напитков </w:t>
      </w:r>
      <w:r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необходимо учитывать следующее</w:t>
      </w:r>
      <w:r w:rsidR="00E95EAE"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:</w:t>
      </w:r>
    </w:p>
    <w:p w14:paraId="380C618B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6913020D">
          <v:rect id="_x0000_i1039" alt="" style="width:466.8pt;height:.05pt;mso-width-percent:0;mso-height-percent:0;mso-width-percent:0;mso-height-percent:0" o:hrpct="998" o:hralign="center" o:hrstd="t" o:hr="t" fillcolor="#a0a0a0" stroked="f"/>
        </w:pict>
      </w:r>
    </w:p>
    <w:p w14:paraId="4E06EA36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1. Маркетинговое исследование и анализ</w:t>
      </w:r>
    </w:p>
    <w:p w14:paraId="7A53F5DA" w14:textId="77777777" w:rsidR="00E95EAE" w:rsidRPr="00E95EAE" w:rsidRDefault="00E95EAE" w:rsidP="00E95EAE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Изучить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спрос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 пиво в регионе/стране (предпочтения по сортам, ценовым категориям, тренды — крафт, безалкогольное, фруктовое). </w:t>
      </w:r>
    </w:p>
    <w:p w14:paraId="020B9D0B" w14:textId="77777777" w:rsidR="00E95EAE" w:rsidRPr="00E95EAE" w:rsidRDefault="00E95EAE" w:rsidP="00E95EAE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Проанализировать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конкурентов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(крупные федеральные бренды, локальные пивоварни). </w:t>
      </w:r>
    </w:p>
    <w:p w14:paraId="1294513E" w14:textId="77777777" w:rsidR="00E95EAE" w:rsidRPr="00E95EAE" w:rsidRDefault="00E95EAE" w:rsidP="00E95EAE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Определить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целевую аудиторию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(молодежь, ценители крафта, </w:t>
      </w:r>
      <w:proofErr w:type="spellStart"/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HoReCa</w:t>
      </w:r>
      <w:proofErr w:type="spellEnd"/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). </w:t>
      </w:r>
    </w:p>
    <w:p w14:paraId="5EFD6B60" w14:textId="77777777" w:rsidR="00E95EAE" w:rsidRPr="00E95EAE" w:rsidRDefault="00E95EAE" w:rsidP="00E95EAE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Оценить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емкость рынка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и потенциал роста.</w:t>
      </w:r>
    </w:p>
    <w:p w14:paraId="3B0D2707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19429F24">
          <v:rect id="_x0000_i1038" alt="" style="width:466.8pt;height:.05pt;mso-width-percent:0;mso-height-percent:0;mso-width-percent:0;mso-height-percent:0" o:hrpct="998" o:hralign="center" o:hrstd="t" o:hr="t" fillcolor="#a0a0a0" stroked="f"/>
        </w:pict>
      </w:r>
    </w:p>
    <w:p w14:paraId="029F19A1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2. Разработка бизнес-плана</w:t>
      </w:r>
    </w:p>
    <w:p w14:paraId="2CA6E00D" w14:textId="4119345A" w:rsidR="00E95EAE" w:rsidRPr="00E95EAE" w:rsidRDefault="00E95EAE" w:rsidP="00E95EAE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Рассчитать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бюджет проекта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18EE0CCC" w14:textId="77777777" w:rsidR="00E95EAE" w:rsidRPr="00E95EAE" w:rsidRDefault="00E95EAE" w:rsidP="00E95EA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Затраты на строительство, оборудование, лицензии, НИОКР. </w:t>
      </w:r>
    </w:p>
    <w:p w14:paraId="7F6DAFD1" w14:textId="77777777" w:rsidR="00E95EAE" w:rsidRPr="00E95EAE" w:rsidRDefault="00E95EAE" w:rsidP="00E95EA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Операционные расходы (сырье, зарплаты, логистика).</w:t>
      </w:r>
    </w:p>
    <w:p w14:paraId="2DFEF098" w14:textId="77777777" w:rsidR="00E95EAE" w:rsidRPr="00E95EAE" w:rsidRDefault="00E95EAE" w:rsidP="00E95EAE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Прогноз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окупаемости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(обычно 3–5 лет для малых пивоварен). </w:t>
      </w:r>
    </w:p>
    <w:p w14:paraId="2860C0E0" w14:textId="77777777" w:rsidR="00E95EAE" w:rsidRPr="00E95EAE" w:rsidRDefault="00E95EAE" w:rsidP="00E95EAE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Определить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источники финансирования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(собственные средства, кредиты, инвесторы).</w:t>
      </w:r>
    </w:p>
    <w:p w14:paraId="22D41A0F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2BDFE991">
          <v:rect id="_x0000_i1037" alt="" style="width:466.8pt;height:.05pt;mso-width-percent:0;mso-height-percent:0;mso-width-percent:0;mso-height-percent:0" o:hrpct="998" o:hralign="center" o:hrstd="t" o:hr="t" fillcolor="#a0a0a0" stroked="f"/>
        </w:pict>
      </w:r>
    </w:p>
    <w:p w14:paraId="3DF86C45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3. Юридическое оформление</w:t>
      </w:r>
    </w:p>
    <w:p w14:paraId="7E5E5D18" w14:textId="77777777" w:rsidR="00E95EAE" w:rsidRPr="00E95EAE" w:rsidRDefault="00E95EAE" w:rsidP="00E95EAE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Регистрация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юридического лица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(ООО или ИП). </w:t>
      </w:r>
    </w:p>
    <w:p w14:paraId="05264D3F" w14:textId="7EFA4086" w:rsidR="00E95EAE" w:rsidRPr="00E95EAE" w:rsidRDefault="00E95EAE" w:rsidP="00E95EAE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Получение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лицензий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296E102D" w14:textId="77777777" w:rsidR="00E95EAE" w:rsidRPr="00E95EAE" w:rsidRDefault="00E95EAE" w:rsidP="00E95EA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Лицензия на производство алкогольной продукции (ФСРАР). </w:t>
      </w:r>
    </w:p>
    <w:p w14:paraId="7E6F6137" w14:textId="77777777" w:rsidR="00E95EAE" w:rsidRPr="00E95EAE" w:rsidRDefault="00E95EAE" w:rsidP="00E95EA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Санитарно-эпидемиологическое заключение (Роспотребнадзор). </w:t>
      </w:r>
    </w:p>
    <w:p w14:paraId="11F17724" w14:textId="77777777" w:rsidR="00E95EAE" w:rsidRPr="00E95EAE" w:rsidRDefault="00E95EAE" w:rsidP="00E95EA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Разрешение на выбросы и отходы (экологическая экспертиза).</w:t>
      </w:r>
    </w:p>
    <w:p w14:paraId="777452CD" w14:textId="77777777" w:rsidR="00E95EAE" w:rsidRPr="00E95EAE" w:rsidRDefault="00E95EAE" w:rsidP="00E95EAE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Регистрация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торговой марки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(Роспатент).</w:t>
      </w:r>
    </w:p>
    <w:p w14:paraId="4499818D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48103013">
          <v:rect id="_x0000_i1036" alt="" style="width:466.8pt;height:.05pt;mso-width-percent:0;mso-height-percent:0;mso-width-percent:0;mso-height-percent:0" o:hrpct="998" o:hralign="center" o:hrstd="t" o:hr="t" fillcolor="#a0a0a0" stroked="f"/>
        </w:pict>
      </w:r>
    </w:p>
    <w:p w14:paraId="500BDA75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4. Выбор и подготовка площадки</w:t>
      </w:r>
    </w:p>
    <w:p w14:paraId="71C8AB58" w14:textId="77777777" w:rsidR="00E95EAE" w:rsidRPr="00E95EAE" w:rsidRDefault="00E95EAE" w:rsidP="00E95EAE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Поиск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локации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с учетом: </w:t>
      </w:r>
    </w:p>
    <w:p w14:paraId="3A623DF0" w14:textId="77777777" w:rsidR="00E95EAE" w:rsidRPr="00E95EAE" w:rsidRDefault="00E95EAE" w:rsidP="00E95EA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Близости к рынкам сбыта и поставщикам сырья. </w:t>
      </w:r>
    </w:p>
    <w:p w14:paraId="65EEFA79" w14:textId="77777777" w:rsidR="00E95EAE" w:rsidRPr="00E95EAE" w:rsidRDefault="00E95EAE" w:rsidP="00E95EA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Наличия коммуникаций (вода, электричество, газ). </w:t>
      </w:r>
    </w:p>
    <w:p w14:paraId="1C0BEF71" w14:textId="77777777" w:rsidR="00E95EAE" w:rsidRPr="00E95EAE" w:rsidRDefault="00E95EAE" w:rsidP="00E95EA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Соответствия санитарным и экологическим нормам (СЭЗ, зоны отдыха).</w:t>
      </w:r>
    </w:p>
    <w:p w14:paraId="10ED82B8" w14:textId="77777777" w:rsidR="00E95EAE" w:rsidRPr="00E95EAE" w:rsidRDefault="00E95EAE" w:rsidP="00E95EAE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Аренда/покупка земельного участка.</w:t>
      </w:r>
    </w:p>
    <w:p w14:paraId="02BC76F5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30111EEC">
          <v:rect id="_x0000_i1035" alt="" style="width:466.8pt;height:.05pt;mso-width-percent:0;mso-height-percent:0;mso-width-percent:0;mso-height-percent:0" o:hrpct="998" o:hralign="center" o:hrstd="t" o:hr="t" fillcolor="#a0a0a0" stroked="f"/>
        </w:pict>
      </w:r>
    </w:p>
    <w:p w14:paraId="132C4BA1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5. Проектирование завода</w:t>
      </w:r>
    </w:p>
    <w:p w14:paraId="255E22EE" w14:textId="618A6118" w:rsidR="00E95EAE" w:rsidRPr="00E95EAE" w:rsidRDefault="00E95EAE" w:rsidP="00E95EAE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Разработка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архитектурного проекта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276EBADC" w14:textId="77777777" w:rsidR="00E95EAE" w:rsidRPr="00E95EAE" w:rsidRDefault="00E95EAE" w:rsidP="00E95EAE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lastRenderedPageBreak/>
        <w:t xml:space="preserve">Производственные цеха (варка, брожение, розлив). </w:t>
      </w:r>
    </w:p>
    <w:p w14:paraId="5E035ED0" w14:textId="77777777" w:rsidR="00E95EAE" w:rsidRPr="00E95EAE" w:rsidRDefault="00E95EAE" w:rsidP="00E95EAE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Склады сырья и готовой продукции. </w:t>
      </w:r>
    </w:p>
    <w:p w14:paraId="42594A0C" w14:textId="77777777" w:rsidR="00E95EAE" w:rsidRPr="00E95EAE" w:rsidRDefault="00E95EAE" w:rsidP="00E95EAE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Лаборатория для контроля качества. </w:t>
      </w:r>
    </w:p>
    <w:p w14:paraId="767A8B31" w14:textId="77777777" w:rsidR="00E95EAE" w:rsidRPr="00E95EAE" w:rsidRDefault="00E95EAE" w:rsidP="00E95EAE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Административные помещения.</w:t>
      </w:r>
    </w:p>
    <w:p w14:paraId="563AD906" w14:textId="77777777" w:rsidR="00E95EAE" w:rsidRPr="00E95EAE" w:rsidRDefault="00E95EAE" w:rsidP="00E95EAE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Продумать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технологическую цепочку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(поток сырья, персонала, готовой продукции). </w:t>
      </w:r>
    </w:p>
    <w:p w14:paraId="2AA4AF8C" w14:textId="77777777" w:rsidR="00E95EAE" w:rsidRPr="00E95EAE" w:rsidRDefault="00E95EAE" w:rsidP="00E95EAE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Внедрение систем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автоматизации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и энергосбережения.</w:t>
      </w:r>
    </w:p>
    <w:p w14:paraId="0AEF44B6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1BDC0B4B">
          <v:rect id="_x0000_i1034" alt="" style="width:466.8pt;height:.05pt;mso-width-percent:0;mso-height-percent:0;mso-width-percent:0;mso-height-percent:0" o:hrpct="998" o:hralign="center" o:hrstd="t" o:hr="t" fillcolor="#a0a0a0" stroked="f"/>
        </w:pict>
      </w:r>
    </w:p>
    <w:p w14:paraId="182BAC19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6. Закупка оборудования</w:t>
      </w:r>
    </w:p>
    <w:p w14:paraId="5E75F47A" w14:textId="14BBBEB2" w:rsidR="00E95EAE" w:rsidRPr="00E95EAE" w:rsidRDefault="00E95EAE" w:rsidP="00E95EAE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Выбор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технологического оборудования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6E30CB67" w14:textId="6320C4C3" w:rsidR="00E95EAE" w:rsidRPr="00E95EAE" w:rsidRDefault="00E95EAE" w:rsidP="00E95EAE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Варочный котел, ферментеры, центрифуги, линии</w:t>
      </w:r>
      <w:r w:rsidR="008D1124">
        <w:rPr>
          <w:rFonts w:ascii="Arial" w:eastAsia="Times New Roman" w:hAnsi="Arial" w:cs="Arial"/>
          <w:color w:val="2C2C36"/>
          <w:spacing w:val="5"/>
          <w:lang w:eastAsia="ru-RU"/>
        </w:rPr>
        <w:t xml:space="preserve"> розлива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. </w:t>
      </w:r>
    </w:p>
    <w:p w14:paraId="60F81B83" w14:textId="77777777" w:rsidR="00E95EAE" w:rsidRPr="00E95EAE" w:rsidRDefault="00E95EAE" w:rsidP="00E95EAE">
      <w:pPr>
        <w:numPr>
          <w:ilvl w:val="1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Системы охлаждения, фильтрации, CIP-мойки.</w:t>
      </w:r>
    </w:p>
    <w:p w14:paraId="29445C6A" w14:textId="77777777" w:rsidR="00E95EAE" w:rsidRPr="00E95EAE" w:rsidRDefault="00E95EAE" w:rsidP="00E95EAE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Заказ оборудования (отечественного или импортного). </w:t>
      </w:r>
    </w:p>
    <w:p w14:paraId="3E9A1098" w14:textId="77777777" w:rsidR="00E95EAE" w:rsidRPr="00E95EAE" w:rsidRDefault="00E95EAE" w:rsidP="00E95EAE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Монтаж и тестирование оборудования. </w:t>
      </w:r>
    </w:p>
    <w:p w14:paraId="377B7900" w14:textId="77777777" w:rsidR="00E95EAE" w:rsidRPr="00E95EAE" w:rsidRDefault="00E95EAE" w:rsidP="00E95EAE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Обучение сотрудников работе с техникой.</w:t>
      </w:r>
    </w:p>
    <w:p w14:paraId="16DDD06A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63AA01A1">
          <v:rect id="_x0000_i1033" alt="" style="width:466.8pt;height:.05pt;mso-width-percent:0;mso-height-percent:0;mso-width-percent:0;mso-height-percent:0" o:hrpct="998" o:hralign="center" o:hrstd="t" o:hr="t" fillcolor="#a0a0a0" stroked="f"/>
        </w:pict>
      </w:r>
    </w:p>
    <w:p w14:paraId="56913D0F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7. Строительство и ввод в эксплуатацию</w:t>
      </w:r>
    </w:p>
    <w:p w14:paraId="1CE05E64" w14:textId="77777777" w:rsidR="00E95EAE" w:rsidRPr="00E95EAE" w:rsidRDefault="00E95EAE" w:rsidP="00E95EAE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Координация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подрядчиков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(строители, электрики, сантехники). </w:t>
      </w:r>
    </w:p>
    <w:p w14:paraId="6691D20E" w14:textId="77777777" w:rsidR="00E95EAE" w:rsidRPr="00E95EAE" w:rsidRDefault="00E95EAE" w:rsidP="00E95EAE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Монтаж коммуникаций (водопровод, вентиляция, электросети). </w:t>
      </w:r>
    </w:p>
    <w:p w14:paraId="033457FA" w14:textId="77777777" w:rsidR="00E95EAE" w:rsidRPr="00E95EAE" w:rsidRDefault="00E95EAE" w:rsidP="00E95EAE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Пусконаладочные работы. </w:t>
      </w:r>
    </w:p>
    <w:p w14:paraId="0A1FD316" w14:textId="77777777" w:rsidR="00E95EAE" w:rsidRPr="00E95EAE" w:rsidRDefault="00E95EAE" w:rsidP="00E95EAE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Сдача объекта в эксплуатацию (проверка Госстройнадзора).</w:t>
      </w:r>
    </w:p>
    <w:p w14:paraId="01F1AE7E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0C0D5EF9">
          <v:rect id="_x0000_i1032" alt="" style="width:466.8pt;height:.05pt;mso-width-percent:0;mso-height-percent:0;mso-width-percent:0;mso-height-percent:0" o:hrpct="998" o:hralign="center" o:hrstd="t" o:hr="t" fillcolor="#a0a0a0" stroked="f"/>
        </w:pict>
      </w:r>
    </w:p>
    <w:p w14:paraId="2FBFC46C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8. Формирование команды</w:t>
      </w:r>
    </w:p>
    <w:p w14:paraId="6ADF37B5" w14:textId="77777777" w:rsidR="00E95EAE" w:rsidRPr="00E95EAE" w:rsidRDefault="00E95EAE" w:rsidP="00E95EAE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Найм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ключевых </w:t>
      </w:r>
      <w:proofErr w:type="gramStart"/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специалистов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:</w:t>
      </w:r>
      <w:proofErr w:type="gramEnd"/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 </w:t>
      </w:r>
    </w:p>
    <w:p w14:paraId="106907DA" w14:textId="77777777" w:rsidR="00E95EAE" w:rsidRPr="00E95EAE" w:rsidRDefault="00E95EAE" w:rsidP="00E95EAE">
      <w:pPr>
        <w:numPr>
          <w:ilvl w:val="1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Пивовар-технолог. </w:t>
      </w:r>
    </w:p>
    <w:p w14:paraId="285EFBA8" w14:textId="77777777" w:rsidR="00E95EAE" w:rsidRPr="00E95EAE" w:rsidRDefault="00E95EAE" w:rsidP="00E95EAE">
      <w:pPr>
        <w:numPr>
          <w:ilvl w:val="1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Инженер по обслуживанию оборудования. </w:t>
      </w:r>
    </w:p>
    <w:p w14:paraId="5EE91E1E" w14:textId="77777777" w:rsidR="00E95EAE" w:rsidRPr="00E95EAE" w:rsidRDefault="00E95EAE" w:rsidP="00E95EAE">
      <w:pPr>
        <w:numPr>
          <w:ilvl w:val="1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Менеджер по качеству. </w:t>
      </w:r>
    </w:p>
    <w:p w14:paraId="303546AE" w14:textId="77777777" w:rsidR="00E95EAE" w:rsidRPr="00E95EAE" w:rsidRDefault="00E95EAE" w:rsidP="00E95EAE">
      <w:pPr>
        <w:numPr>
          <w:ilvl w:val="1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Логист и менеджер по продажам.</w:t>
      </w:r>
    </w:p>
    <w:p w14:paraId="06E55CA1" w14:textId="77777777" w:rsidR="00E95EAE" w:rsidRPr="00E95EAE" w:rsidRDefault="00E95EAE" w:rsidP="00E95EAE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Обучение персонала (стажировки на других пивзаводах, курсы).</w:t>
      </w:r>
    </w:p>
    <w:p w14:paraId="281F30AE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80135FE">
          <v:rect id="_x0000_i1031" alt="" style="width:466.8pt;height:.05pt;mso-width-percent:0;mso-height-percent:0;mso-width-percent:0;mso-height-percent:0" o:hrpct="998" o:hralign="center" o:hrstd="t" o:hr="t" fillcolor="#a0a0a0" stroked="f"/>
        </w:pict>
      </w:r>
    </w:p>
    <w:p w14:paraId="4F9B52C9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9. Тестовый запуск и отладка</w:t>
      </w:r>
    </w:p>
    <w:p w14:paraId="14C3BF1D" w14:textId="7B29548A" w:rsidR="00E95EAE" w:rsidRPr="00E95EAE" w:rsidRDefault="00E95EAE" w:rsidP="00E95EAE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Запуск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пилотной партии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. </w:t>
      </w:r>
    </w:p>
    <w:p w14:paraId="34878A10" w14:textId="77777777" w:rsidR="00E95EAE" w:rsidRPr="00E95EAE" w:rsidRDefault="00E95EAE" w:rsidP="00E95EAE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Проверка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качества продукции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(органолептические показатели, соответствие ГОСТ/ТУ). </w:t>
      </w:r>
    </w:p>
    <w:p w14:paraId="4EC84913" w14:textId="77777777" w:rsidR="00E95EAE" w:rsidRPr="00E95EAE" w:rsidRDefault="00E95EAE" w:rsidP="00E95EAE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lastRenderedPageBreak/>
        <w:t>Устранение технологических сбоев.</w:t>
      </w:r>
    </w:p>
    <w:p w14:paraId="74A83FC1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618152AC">
          <v:rect id="_x0000_i1030" alt="" style="width:466.8pt;height:.05pt;mso-width-percent:0;mso-height-percent:0;mso-width-percent:0;mso-height-percent:0" o:hrpct="998" o:hralign="center" o:hrstd="t" o:hr="t" fillcolor="#a0a0a0" stroked="f"/>
        </w:pict>
      </w:r>
    </w:p>
    <w:p w14:paraId="75A2D7DB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10. Организация сбыта и логистики</w:t>
      </w:r>
    </w:p>
    <w:p w14:paraId="033FD96F" w14:textId="77777777" w:rsidR="00E95EAE" w:rsidRPr="00E95EAE" w:rsidRDefault="00E95EAE" w:rsidP="00E95EAE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Заключение договоров с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дистрибьюторами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и розничными сетями. </w:t>
      </w:r>
    </w:p>
    <w:p w14:paraId="438527F4" w14:textId="77777777" w:rsidR="00E95EAE" w:rsidRPr="00E95EAE" w:rsidRDefault="00E95EAE" w:rsidP="00E95EAE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Развитие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онлайн-продаж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(собственный сайт, маркетплейсы). </w:t>
      </w:r>
    </w:p>
    <w:p w14:paraId="665A910F" w14:textId="77777777" w:rsidR="00E95EAE" w:rsidRPr="00E95EAE" w:rsidRDefault="00E95EAE" w:rsidP="00E95EAE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Организация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складской логистики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(учет сроков годности, температурный режим).</w:t>
      </w:r>
    </w:p>
    <w:p w14:paraId="3B7BDFFD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394D8500">
          <v:rect id="_x0000_i1029" alt="" style="width:466.8pt;height:.05pt;mso-width-percent:0;mso-height-percent:0;mso-width-percent:0;mso-height-percent:0" o:hrpct="998" o:hralign="center" o:hrstd="t" o:hr="t" fillcolor="#a0a0a0" stroked="f"/>
        </w:pict>
      </w:r>
    </w:p>
    <w:p w14:paraId="1A4CCA33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11. Маркетинг и продвижение</w:t>
      </w:r>
    </w:p>
    <w:p w14:paraId="0EF5BF7A" w14:textId="7B9D1AF4" w:rsidR="00E95EAE" w:rsidRPr="00E95EAE" w:rsidRDefault="00E95EAE" w:rsidP="00E95EAE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Создание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бренда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04BF6099" w14:textId="77777777" w:rsidR="00E95EAE" w:rsidRPr="00E95EAE" w:rsidRDefault="00E95EAE" w:rsidP="00E95EAE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Название, логотип, дизайн этикетки. </w:t>
      </w:r>
    </w:p>
    <w:p w14:paraId="3CE986AE" w14:textId="77777777" w:rsidR="00E95EAE" w:rsidRPr="00E95EAE" w:rsidRDefault="00E95EAE" w:rsidP="00E95EAE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Упаковка (бутылки, банки, кеги).</w:t>
      </w:r>
    </w:p>
    <w:p w14:paraId="65E0846B" w14:textId="77777777" w:rsidR="00E95EAE" w:rsidRPr="00E95EAE" w:rsidRDefault="00E95EAE" w:rsidP="00E95EAE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Продвижение: </w:t>
      </w:r>
    </w:p>
    <w:p w14:paraId="7144FA73" w14:textId="77777777" w:rsidR="00E95EAE" w:rsidRPr="00E95EAE" w:rsidRDefault="00E95EAE" w:rsidP="00E95EAE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Участие в пивных фестивалях (например, «Октоберфест»). </w:t>
      </w:r>
    </w:p>
    <w:p w14:paraId="7E48F819" w14:textId="77777777" w:rsidR="00E95EAE" w:rsidRPr="00E95EAE" w:rsidRDefault="00E95EAE" w:rsidP="00E95EAE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Реклама в соцсетях (Instagram, ВКонтакте) и на тематических площадках. </w:t>
      </w:r>
    </w:p>
    <w:p w14:paraId="5062CDB1" w14:textId="77777777" w:rsidR="00E95EAE" w:rsidRPr="00E95EAE" w:rsidRDefault="00E95EAE" w:rsidP="00E95EAE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Коллаборации с барами и ресторанами.</w:t>
      </w:r>
    </w:p>
    <w:p w14:paraId="7979EDD1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6DF415C8">
          <v:rect id="_x0000_i1028" alt="" style="width:466.8pt;height:.05pt;mso-width-percent:0;mso-height-percent:0;mso-width-percent:0;mso-height-percent:0" o:hrpct="998" o:hralign="center" o:hrstd="t" o:hr="t" fillcolor="#a0a0a0" stroked="f"/>
        </w:pict>
      </w:r>
    </w:p>
    <w:p w14:paraId="55A5680E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12. Запуск производства</w:t>
      </w:r>
    </w:p>
    <w:p w14:paraId="4595C7F6" w14:textId="77777777" w:rsidR="00E95EAE" w:rsidRPr="00E95EAE" w:rsidRDefault="00E95EAE" w:rsidP="00E95EAE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Начало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массового выпуска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продукции. </w:t>
      </w:r>
    </w:p>
    <w:p w14:paraId="1E251145" w14:textId="77777777" w:rsidR="00E95EAE" w:rsidRPr="00E95EAE" w:rsidRDefault="00E95EAE" w:rsidP="00E95EAE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Контроль качества на всех этапах (сырье, брожение, розлив). </w:t>
      </w:r>
    </w:p>
    <w:p w14:paraId="0F1442EF" w14:textId="77777777" w:rsidR="00E95EAE" w:rsidRPr="00E95EAE" w:rsidRDefault="00E95EAE" w:rsidP="00E95EAE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Мониторинг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обратной связи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от потребителей.</w:t>
      </w:r>
    </w:p>
    <w:p w14:paraId="17588D83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47F4901E">
          <v:rect id="_x0000_i1027" alt="" style="width:466.8pt;height:.05pt;mso-width-percent:0;mso-height-percent:0;mso-width-percent:0;mso-height-percent:0" o:hrpct="998" o:hralign="center" o:hrstd="t" o:hr="t" fillcolor="#a0a0a0" stroked="f"/>
        </w:pict>
      </w:r>
    </w:p>
    <w:p w14:paraId="3B39A764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13. Постпродажная оптимизация</w:t>
      </w:r>
    </w:p>
    <w:p w14:paraId="2DD78823" w14:textId="77777777" w:rsidR="00E95EAE" w:rsidRPr="00E95EAE" w:rsidRDefault="00E95EAE" w:rsidP="00E95EAE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Анализ продаж и корректировка ассортимента. </w:t>
      </w:r>
    </w:p>
    <w:p w14:paraId="408E7444" w14:textId="77777777" w:rsidR="00E95EAE" w:rsidRPr="00E95EAE" w:rsidRDefault="00E95EAE" w:rsidP="00E95EAE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Внедрение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инноваций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(новые рецептуры, упаковка). </w:t>
      </w:r>
    </w:p>
    <w:p w14:paraId="340F2E78" w14:textId="77777777" w:rsidR="00E95EAE" w:rsidRPr="00E95EAE" w:rsidRDefault="00E95EAE" w:rsidP="00E95EAE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Снижение издержек (оптимизация логистики, закупка сырья оптом).</w:t>
      </w:r>
    </w:p>
    <w:p w14:paraId="45767C4C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0C49AF7C">
          <v:rect id="_x0000_i1026" alt="" style="width:466.8pt;height:.05pt;mso-width-percent:0;mso-height-percent:0;mso-width-percent:0;mso-height-percent:0" o:hrpct="998" o:hralign="center" o:hrstd="t" o:hr="t" fillcolor="#a0a0a0" stroked="f"/>
        </w:pict>
      </w:r>
    </w:p>
    <w:p w14:paraId="6D8B4D1E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outlineLvl w:val="2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E95EAE">
        <w:rPr>
          <w:rFonts w:ascii="Arial" w:eastAsia="Times New Roman" w:hAnsi="Arial" w:cs="Arial"/>
          <w:b/>
          <w:bCs/>
          <w:color w:val="2C2C36"/>
          <w:sz w:val="27"/>
          <w:szCs w:val="27"/>
          <w:bdr w:val="single" w:sz="2" w:space="0" w:color="E3E3E3" w:frame="1"/>
          <w:lang w:eastAsia="ru-RU"/>
        </w:rPr>
        <w:t>Дополнительные задачи:</w:t>
      </w:r>
    </w:p>
    <w:p w14:paraId="141A6C1D" w14:textId="55200756" w:rsidR="00E95EAE" w:rsidRPr="00E95EAE" w:rsidRDefault="00E95EAE" w:rsidP="00E95EAE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Экологическая безопасность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54B263E2" w14:textId="77777777" w:rsidR="00E95EAE" w:rsidRPr="00E95EAE" w:rsidRDefault="00E95EAE" w:rsidP="00E95EAE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Утилизация отходов (дрожжи, сусло, стеклотара). </w:t>
      </w:r>
    </w:p>
    <w:p w14:paraId="5AAEBCA7" w14:textId="631D8876" w:rsidR="00E95EAE" w:rsidRPr="00E95EAE" w:rsidRDefault="00E95EAE" w:rsidP="00E95EAE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Внедрение </w:t>
      </w:r>
      <w:r w:rsidR="008D1124">
        <w:rPr>
          <w:rFonts w:ascii="Arial" w:eastAsia="Times New Roman" w:hAnsi="Arial" w:cs="Arial"/>
          <w:color w:val="2C2C36"/>
          <w:spacing w:val="5"/>
          <w:lang w:eastAsia="ru-RU"/>
        </w:rPr>
        <w:t xml:space="preserve">«бережливых»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технологий (рециклинг воды</w:t>
      </w:r>
      <w:r w:rsidR="008D1124">
        <w:rPr>
          <w:rFonts w:ascii="Arial" w:eastAsia="Times New Roman" w:hAnsi="Arial" w:cs="Arial"/>
          <w:color w:val="2C2C36"/>
          <w:spacing w:val="5"/>
          <w:lang w:eastAsia="ru-RU"/>
        </w:rPr>
        <w:t xml:space="preserve"> и пр.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).</w:t>
      </w:r>
    </w:p>
    <w:p w14:paraId="7C882D8D" w14:textId="7F0913C5" w:rsidR="00E95EAE" w:rsidRPr="00E95EAE" w:rsidRDefault="00E95EAE" w:rsidP="00E95EAE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Социальная ответственность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: </w:t>
      </w:r>
    </w:p>
    <w:p w14:paraId="0F488717" w14:textId="77777777" w:rsidR="00E95EAE" w:rsidRPr="00E95EAE" w:rsidRDefault="00E95EAE" w:rsidP="00E95EAE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Программы по борьбе с алкоголизмом. </w:t>
      </w:r>
    </w:p>
    <w:p w14:paraId="6C734369" w14:textId="77777777" w:rsidR="00E95EAE" w:rsidRPr="00E95EAE" w:rsidRDefault="00E95EAE" w:rsidP="00E95EAE">
      <w:pPr>
        <w:numPr>
          <w:ilvl w:val="1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lastRenderedPageBreak/>
        <w:t>Поддержка местных поставщиков сырья.</w:t>
      </w:r>
    </w:p>
    <w:p w14:paraId="1CEE0CFB" w14:textId="77777777" w:rsidR="00E95EAE" w:rsidRPr="00E95EAE" w:rsidRDefault="007B70EF" w:rsidP="00E95EAE">
      <w:pPr>
        <w:spacing w:before="180" w:after="180"/>
        <w:rPr>
          <w:rFonts w:ascii="Arial" w:eastAsia="Times New Roman" w:hAnsi="Arial" w:cs="Arial"/>
          <w:spacing w:val="5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01DDE0B2">
          <v:rect id="_x0000_i1025" alt="" style="width:466.8pt;height:.05pt;mso-width-percent:0;mso-height-percent:0;mso-width-percent:0;mso-height-percent:0" o:hrpct="998" o:hralign="center" o:hrstd="t" o:hr="t" fillcolor="#a0a0a0" stroked="f"/>
        </w:pict>
      </w:r>
    </w:p>
    <w:p w14:paraId="7374B9FE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Ключевые риски:</w:t>
      </w:r>
    </w:p>
    <w:p w14:paraId="60104A0B" w14:textId="77777777" w:rsidR="00E95EAE" w:rsidRPr="00E95EAE" w:rsidRDefault="00E95EAE" w:rsidP="00E95EAE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Задержки поставок оборудования (особенно импортного). </w:t>
      </w:r>
    </w:p>
    <w:p w14:paraId="6BF5831A" w14:textId="77777777" w:rsidR="00E95EAE" w:rsidRPr="00E95EAE" w:rsidRDefault="00E95EAE" w:rsidP="00E95EAE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Изменения в законодательстве (акцизы, ограничения на рекламу). </w:t>
      </w:r>
    </w:p>
    <w:p w14:paraId="44B366FE" w14:textId="2DEE6541" w:rsidR="00E95EAE" w:rsidRPr="00E95EAE" w:rsidRDefault="00E95EAE" w:rsidP="00E95EAE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Высокая конкуренция с крупными игроками.</w:t>
      </w:r>
    </w:p>
    <w:p w14:paraId="3183035A" w14:textId="77777777" w:rsidR="00E95EAE" w:rsidRPr="00E95EAE" w:rsidRDefault="00E95EAE" w:rsidP="00E95EA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Рекомендации:</w:t>
      </w:r>
    </w:p>
    <w:p w14:paraId="0A246ED0" w14:textId="77777777" w:rsidR="00E95EAE" w:rsidRPr="00E95EAE" w:rsidRDefault="00E95EAE" w:rsidP="00E95EAE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Начать с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крафтового сегмента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— он менее насыщен и имеет лояльную аудиторию. </w:t>
      </w:r>
    </w:p>
    <w:p w14:paraId="6A30BA94" w14:textId="77777777" w:rsidR="00E95EAE" w:rsidRPr="00E95EAE" w:rsidRDefault="00E95EAE" w:rsidP="00E95EAE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 xml:space="preserve">Участвовать в </w:t>
      </w:r>
      <w:r w:rsidRPr="00E95EAE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госпрограммах поддержки малого бизнеса </w:t>
      </w:r>
      <w:r w:rsidRPr="00E95EAE">
        <w:rPr>
          <w:rFonts w:ascii="Arial" w:eastAsia="Times New Roman" w:hAnsi="Arial" w:cs="Arial"/>
          <w:color w:val="2C2C36"/>
          <w:spacing w:val="5"/>
          <w:lang w:eastAsia="ru-RU"/>
        </w:rPr>
        <w:t>(льготные кредиты, гранты).</w:t>
      </w:r>
    </w:p>
    <w:p w14:paraId="60A29963" w14:textId="77777777" w:rsidR="00875FBB" w:rsidRDefault="00875FBB"/>
    <w:sectPr w:rsidR="00875FBB" w:rsidSect="008232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58"/>
    <w:multiLevelType w:val="multilevel"/>
    <w:tmpl w:val="F9AE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4618"/>
    <w:multiLevelType w:val="multilevel"/>
    <w:tmpl w:val="7BFE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3F83"/>
    <w:multiLevelType w:val="multilevel"/>
    <w:tmpl w:val="77F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42ABE"/>
    <w:multiLevelType w:val="multilevel"/>
    <w:tmpl w:val="F58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1F73"/>
    <w:multiLevelType w:val="multilevel"/>
    <w:tmpl w:val="48A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14341"/>
    <w:multiLevelType w:val="multilevel"/>
    <w:tmpl w:val="9EAA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54EBA"/>
    <w:multiLevelType w:val="multilevel"/>
    <w:tmpl w:val="E5C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02FF2"/>
    <w:multiLevelType w:val="multilevel"/>
    <w:tmpl w:val="4D6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B455D"/>
    <w:multiLevelType w:val="multilevel"/>
    <w:tmpl w:val="AB9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E7A00"/>
    <w:multiLevelType w:val="multilevel"/>
    <w:tmpl w:val="23D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0487E"/>
    <w:multiLevelType w:val="multilevel"/>
    <w:tmpl w:val="B6B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64D2A"/>
    <w:multiLevelType w:val="multilevel"/>
    <w:tmpl w:val="0FB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651F8"/>
    <w:multiLevelType w:val="multilevel"/>
    <w:tmpl w:val="B3E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F307B"/>
    <w:multiLevelType w:val="multilevel"/>
    <w:tmpl w:val="222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50271"/>
    <w:multiLevelType w:val="multilevel"/>
    <w:tmpl w:val="CEFC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43669"/>
    <w:multiLevelType w:val="multilevel"/>
    <w:tmpl w:val="51B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81385">
    <w:abstractNumId w:val="1"/>
  </w:num>
  <w:num w:numId="2" w16cid:durableId="614990037">
    <w:abstractNumId w:val="8"/>
  </w:num>
  <w:num w:numId="3" w16cid:durableId="1288967131">
    <w:abstractNumId w:val="6"/>
  </w:num>
  <w:num w:numId="4" w16cid:durableId="711076363">
    <w:abstractNumId w:val="14"/>
  </w:num>
  <w:num w:numId="5" w16cid:durableId="487331447">
    <w:abstractNumId w:val="3"/>
  </w:num>
  <w:num w:numId="6" w16cid:durableId="1564175918">
    <w:abstractNumId w:val="0"/>
  </w:num>
  <w:num w:numId="7" w16cid:durableId="1109156547">
    <w:abstractNumId w:val="7"/>
  </w:num>
  <w:num w:numId="8" w16cid:durableId="489559776">
    <w:abstractNumId w:val="4"/>
  </w:num>
  <w:num w:numId="9" w16cid:durableId="1011637759">
    <w:abstractNumId w:val="12"/>
  </w:num>
  <w:num w:numId="10" w16cid:durableId="2008433737">
    <w:abstractNumId w:val="11"/>
  </w:num>
  <w:num w:numId="11" w16cid:durableId="354042528">
    <w:abstractNumId w:val="13"/>
  </w:num>
  <w:num w:numId="12" w16cid:durableId="1916426937">
    <w:abstractNumId w:val="10"/>
  </w:num>
  <w:num w:numId="13" w16cid:durableId="1413703141">
    <w:abstractNumId w:val="5"/>
  </w:num>
  <w:num w:numId="14" w16cid:durableId="840924632">
    <w:abstractNumId w:val="9"/>
  </w:num>
  <w:num w:numId="15" w16cid:durableId="1466967188">
    <w:abstractNumId w:val="2"/>
  </w:num>
  <w:num w:numId="16" w16cid:durableId="163321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AE"/>
    <w:rsid w:val="005C7389"/>
    <w:rsid w:val="007B70EF"/>
    <w:rsid w:val="00814E0F"/>
    <w:rsid w:val="00823271"/>
    <w:rsid w:val="00875FBB"/>
    <w:rsid w:val="008D1124"/>
    <w:rsid w:val="00A33E7A"/>
    <w:rsid w:val="00E6088F"/>
    <w:rsid w:val="00E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3D81"/>
  <w15:chartTrackingRefBased/>
  <w15:docId w15:val="{7F675DD0-13A8-864E-A78C-0A6BD96E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5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5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E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E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E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E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5EA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5E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0"/>
    <w:uiPriority w:val="22"/>
    <w:qFormat/>
    <w:rsid w:val="00E95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Platonov</dc:creator>
  <cp:keywords/>
  <dc:description/>
  <cp:lastModifiedBy>Sergey Platonov</cp:lastModifiedBy>
  <cp:revision>2</cp:revision>
  <dcterms:created xsi:type="dcterms:W3CDTF">2025-03-24T12:24:00Z</dcterms:created>
  <dcterms:modified xsi:type="dcterms:W3CDTF">2025-04-02T08:45:00Z</dcterms:modified>
</cp:coreProperties>
</file>